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 Schriftelijke vragen PvdA inkomenstoets aanvraag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5-Schriftelijke-vragen-PvdA-inkomenstoets-aanvraag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 Schriftelijke vragen SGP-fractie over vaccineren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776,35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4-Schriftelijke-vragen-SGP-fractie-over-vaccin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- Schriftelijke vragen SGP-fractie over shuttlebus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Bijlage-Schriftelijke-vragen-SGP-fractie-over-shuttlebus-Kinderdij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Beantwoording schriftelijke vragen SGP-fractie t.a.v. shuttlebus Werelderfgoed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263,00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Raadsinformatiebrief-Beantwoording-schriftelijke-vragen-SGP-fractie-t-a-v-shuttlebus-Werelderfgoed-Kinder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Beantwoording Schriftelijke vragen SGP-fractie over vaccinatie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Raadsinformatiebrief-Beantwoording-Schriftelijke-vragen-SGP-fractie-over-vaccinat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653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