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Wet- en Regelgeving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Handhavingsbeleid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474,87 KB</text:p>
          </table:table-cell>
          <table:table-cell table:style-name="Table3.A2" office:value-type="string">
            <text:p text:style-name="P22">
              <text:a xlink:type="simple" xlink:href="https://raad.alblasserdam.nl/documenten/Wet-en-Regelgeving/2020-08-Bijlage-1-Handhavings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Winkeltijdenverordening 2019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161,46 KB</text:p>
          </table:table-cell>
          <table:table-cell table:style-name="Table3.A2" office:value-type="string">
            <text:p text:style-name="P22">
              <text:a xlink:type="simple" xlink:href="https://raad.alblasserdam.nl/documenten/Wet-en-Regelgeving/2020-14-Winkeltijdenverordening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4" meta:character-count="223" meta:non-whitespace-character-count="2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691947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691947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